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DF0" w14:textId="77777777" w:rsidR="00BD7ADF" w:rsidRPr="009A4279" w:rsidRDefault="00BD7ADF">
      <w:pPr>
        <w:rPr>
          <w:rFonts w:ascii="Calibri" w:hAnsi="Calibri" w:cs="Calibri"/>
        </w:rPr>
      </w:pPr>
    </w:p>
    <w:p w14:paraId="4350B915" w14:textId="77777777" w:rsidR="00BD7ADF" w:rsidRPr="009A4279" w:rsidRDefault="00BD7ADF">
      <w:pPr>
        <w:rPr>
          <w:rFonts w:ascii="Calibri" w:hAnsi="Calibri" w:cs="Calibri"/>
        </w:rPr>
      </w:pPr>
    </w:p>
    <w:p w14:paraId="59E6CC72" w14:textId="672B842E" w:rsidR="000D3673" w:rsidRPr="009A4279" w:rsidRDefault="000D3673" w:rsidP="009A4279">
      <w:pPr>
        <w:rPr>
          <w:rFonts w:ascii="Calibri" w:hAnsi="Calibri" w:cs="Calibri"/>
          <w:u w:val="single"/>
        </w:rPr>
      </w:pPr>
      <w:r w:rsidRPr="009A4279">
        <w:rPr>
          <w:rFonts w:ascii="Calibri" w:hAnsi="Calibri" w:cs="Calibri"/>
          <w:u w:val="single"/>
        </w:rPr>
        <w:t xml:space="preserve">Summary of Cloud Services for Research Computing for New Faculty </w:t>
      </w:r>
    </w:p>
    <w:tbl>
      <w:tblPr>
        <w:bidiVisual/>
        <w:tblW w:w="9595" w:type="dxa"/>
        <w:tblCellSpacing w:w="15" w:type="dxa"/>
        <w:tblInd w:w="7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2019"/>
        <w:gridCol w:w="1378"/>
        <w:gridCol w:w="1124"/>
        <w:gridCol w:w="2136"/>
        <w:gridCol w:w="1229"/>
      </w:tblGrid>
      <w:tr w:rsidR="007A1132" w:rsidRPr="009A4279" w14:paraId="61C9C5F9" w14:textId="77777777" w:rsidTr="002F167F">
        <w:trPr>
          <w:trHeight w:val="1028"/>
          <w:tblCellSpacing w:w="15" w:type="dxa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2A41" w14:textId="77777777" w:rsidR="007A1132" w:rsidRPr="009A4279" w:rsidRDefault="007A1132" w:rsidP="00DC1786">
            <w:pPr>
              <w:bidi/>
              <w:jc w:val="right"/>
              <w:rPr>
                <w:rFonts w:ascii="Calibri" w:hAnsi="Calibri" w:cs="Calibri"/>
                <w:lang/>
              </w:rPr>
            </w:pPr>
            <w:r w:rsidRPr="009A4279">
              <w:rPr>
                <w:rFonts w:ascii="Calibri" w:hAnsi="Calibri" w:cs="Calibri"/>
              </w:rPr>
              <w:t>Notes</w:t>
            </w: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EE82" w14:textId="600F1698" w:rsidR="007A1132" w:rsidRPr="009A4279" w:rsidRDefault="007A1132" w:rsidP="00DC1786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 xml:space="preserve">Instructions for Accessing </w:t>
            </w:r>
            <w:r w:rsidR="00E354B9" w:rsidRPr="009A4279">
              <w:rPr>
                <w:rFonts w:ascii="Calibri" w:hAnsi="Calibri" w:cs="Calibri"/>
              </w:rPr>
              <w:t xml:space="preserve">the </w:t>
            </w:r>
            <w:r w:rsidRPr="009A4279">
              <w:rPr>
                <w:rFonts w:ascii="Calibri" w:hAnsi="Calibri" w:cs="Calibri"/>
              </w:rPr>
              <w:t>Resources</w:t>
            </w: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C479" w14:textId="65EED00D" w:rsidR="007A1132" w:rsidRPr="009A4279" w:rsidRDefault="007A1132" w:rsidP="00DC1786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Link to Spec</w:t>
            </w:r>
            <w:r w:rsidR="00E354B9" w:rsidRPr="009A4279">
              <w:rPr>
                <w:rFonts w:ascii="Calibri" w:hAnsi="Calibri" w:cs="Calibri"/>
              </w:rPr>
              <w:t>s &amp;</w:t>
            </w:r>
            <w:r w:rsidRPr="009A4279">
              <w:rPr>
                <w:rFonts w:ascii="Calibri" w:hAnsi="Calibri" w:cs="Calibri"/>
              </w:rPr>
              <w:t xml:space="preserve"> </w:t>
            </w:r>
            <w:r w:rsidR="00E354B9" w:rsidRPr="009A4279">
              <w:rPr>
                <w:rFonts w:ascii="Calibri" w:hAnsi="Calibri" w:cs="Calibri"/>
              </w:rPr>
              <w:t>p</w:t>
            </w:r>
            <w:r w:rsidRPr="009A4279">
              <w:rPr>
                <w:rFonts w:ascii="Calibri" w:hAnsi="Calibri" w:cs="Calibri"/>
              </w:rPr>
              <w:t>ricing</w:t>
            </w:r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283A" w14:textId="77777777" w:rsidR="007A1132" w:rsidRPr="009A4279" w:rsidRDefault="007A1132" w:rsidP="00DC1786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Discount</w:t>
            </w:r>
          </w:p>
        </w:tc>
        <w:tc>
          <w:tcPr>
            <w:tcW w:w="2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23D9" w14:textId="77777777" w:rsidR="007A1132" w:rsidRPr="009A4279" w:rsidRDefault="007A1132" w:rsidP="00DC1786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Agreement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E92A" w14:textId="77777777" w:rsidR="007A1132" w:rsidRPr="009A4279" w:rsidRDefault="007A1132" w:rsidP="00DC1786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Provider</w:t>
            </w:r>
          </w:p>
        </w:tc>
      </w:tr>
      <w:tr w:rsidR="007A1132" w:rsidRPr="009A4279" w14:paraId="11FD51B0" w14:textId="77777777" w:rsidTr="002F167F">
        <w:trPr>
          <w:trHeight w:val="337"/>
          <w:tblCellSpacing w:w="15" w:type="dxa"/>
        </w:trPr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D9DF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Engagement with public cloud providers is carried out through IUCC by advance payment via a Technion purchase order</w:t>
            </w:r>
            <w:r w:rsidRPr="009A4279">
              <w:rPr>
                <w:rFonts w:ascii="Calibri" w:hAnsi="Calibri" w:cs="Calibri"/>
                <w:rtl/>
              </w:rPr>
              <w:t>.</w:t>
            </w:r>
          </w:p>
        </w:tc>
        <w:tc>
          <w:tcPr>
            <w:tcW w:w="20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EF85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Faculty members who wish to obtain access to AWS, GCP, Oracle, and Azure cloud services through IUCC are requested to complete the account opening form</w:t>
            </w:r>
            <w:r w:rsidRPr="009A4279">
              <w:rPr>
                <w:rFonts w:ascii="Calibri" w:hAnsi="Calibri" w:cs="Calibri"/>
                <w:rtl/>
              </w:rPr>
              <w:t>.</w:t>
            </w: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7AEF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hyperlink r:id="rId6" w:anchor="/addService" w:history="1">
              <w:r w:rsidRPr="009A4279">
                <w:rPr>
                  <w:rStyle w:val="Hyperlink"/>
                  <w:rFonts w:ascii="Calibri" w:hAnsi="Calibri" w:cs="Calibri"/>
                </w:rPr>
                <w:t>Click</w:t>
              </w:r>
            </w:hyperlink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16D0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  <w:rtl/>
              </w:rPr>
              <w:t>35%</w:t>
            </w:r>
          </w:p>
        </w:tc>
        <w:tc>
          <w:tcPr>
            <w:tcW w:w="2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0A4C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Government Procurement Administration / IUCC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CC32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AWS</w:t>
            </w:r>
          </w:p>
        </w:tc>
      </w:tr>
      <w:tr w:rsidR="007A1132" w:rsidRPr="009A4279" w14:paraId="58420B99" w14:textId="77777777" w:rsidTr="002F167F">
        <w:trPr>
          <w:trHeight w:val="689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E339744" w14:textId="77777777" w:rsidR="007A1132" w:rsidRPr="009A4279" w:rsidRDefault="007A1132" w:rsidP="00E354B9">
            <w:pPr>
              <w:bidi/>
              <w:spacing w:line="278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3EECBC" w14:textId="77777777" w:rsidR="007A1132" w:rsidRPr="009A4279" w:rsidRDefault="007A1132" w:rsidP="00E354B9">
            <w:pPr>
              <w:bidi/>
              <w:spacing w:line="278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CAC0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hyperlink r:id="rId7" w:history="1">
              <w:r w:rsidRPr="009A4279">
                <w:rPr>
                  <w:rStyle w:val="Hyperlink"/>
                  <w:rFonts w:ascii="Calibri" w:hAnsi="Calibri" w:cs="Calibri"/>
                </w:rPr>
                <w:t>Click</w:t>
              </w:r>
            </w:hyperlink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1B85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  <w:rtl/>
              </w:rPr>
              <w:t>42%</w:t>
            </w:r>
          </w:p>
        </w:tc>
        <w:tc>
          <w:tcPr>
            <w:tcW w:w="2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62DB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Government Procurement Administration / IUCC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4579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Google GCP</w:t>
            </w:r>
          </w:p>
        </w:tc>
      </w:tr>
      <w:tr w:rsidR="007A1132" w:rsidRPr="009A4279" w14:paraId="60F716AF" w14:textId="77777777" w:rsidTr="002F167F">
        <w:trPr>
          <w:trHeight w:val="337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8C3C1D9" w14:textId="77777777" w:rsidR="007A1132" w:rsidRPr="009A4279" w:rsidRDefault="007A1132" w:rsidP="00E354B9">
            <w:pPr>
              <w:bidi/>
              <w:spacing w:line="278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F096CC" w14:textId="77777777" w:rsidR="007A1132" w:rsidRPr="009A4279" w:rsidRDefault="007A1132" w:rsidP="00E354B9">
            <w:pPr>
              <w:bidi/>
              <w:spacing w:line="278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D86B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hyperlink r:id="rId8" w:history="1">
              <w:r w:rsidRPr="009A4279">
                <w:rPr>
                  <w:rStyle w:val="Hyperlink"/>
                  <w:rFonts w:ascii="Calibri" w:hAnsi="Calibri" w:cs="Calibri"/>
                </w:rPr>
                <w:t>Click</w:t>
              </w:r>
            </w:hyperlink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3F35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  <w:rtl/>
              </w:rPr>
              <w:t>30%</w:t>
            </w:r>
          </w:p>
        </w:tc>
        <w:tc>
          <w:tcPr>
            <w:tcW w:w="2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D940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Government Procurement Administration / IUCC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55F8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Oracle</w:t>
            </w:r>
          </w:p>
        </w:tc>
      </w:tr>
      <w:tr w:rsidR="007A1132" w:rsidRPr="009A4279" w14:paraId="4BDE933F" w14:textId="77777777" w:rsidTr="002F167F">
        <w:trPr>
          <w:trHeight w:val="962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2E20B4" w14:textId="77777777" w:rsidR="007A1132" w:rsidRPr="009A4279" w:rsidRDefault="007A1132" w:rsidP="00E354B9">
            <w:pPr>
              <w:bidi/>
              <w:spacing w:line="278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A946CC" w14:textId="77777777" w:rsidR="007A1132" w:rsidRPr="009A4279" w:rsidRDefault="007A1132" w:rsidP="00E354B9">
            <w:pPr>
              <w:bidi/>
              <w:spacing w:line="278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DCCB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hyperlink r:id="rId9" w:history="1">
              <w:r w:rsidRPr="009A4279">
                <w:rPr>
                  <w:rStyle w:val="Hyperlink"/>
                  <w:rFonts w:ascii="Calibri" w:hAnsi="Calibri" w:cs="Calibri"/>
                </w:rPr>
                <w:t>Click</w:t>
              </w:r>
            </w:hyperlink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6309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  <w:rtl/>
              </w:rPr>
              <w:t>37%</w:t>
            </w:r>
          </w:p>
        </w:tc>
        <w:tc>
          <w:tcPr>
            <w:tcW w:w="2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43E3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IUCC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195B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Azure</w:t>
            </w:r>
          </w:p>
        </w:tc>
      </w:tr>
      <w:tr w:rsidR="007A1132" w:rsidRPr="009A4279" w14:paraId="4098B1C8" w14:textId="77777777" w:rsidTr="002F167F">
        <w:trPr>
          <w:trHeight w:val="1379"/>
          <w:tblCellSpacing w:w="15" w:type="dxa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B3E6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 xml:space="preserve">The 80% subsidy is intended for </w:t>
            </w:r>
            <w:proofErr w:type="gramStart"/>
            <w:r w:rsidRPr="009A4279">
              <w:rPr>
                <w:rFonts w:ascii="Calibri" w:hAnsi="Calibri" w:cs="Calibri"/>
              </w:rPr>
              <w:t>runtime</w:t>
            </w:r>
            <w:proofErr w:type="gramEnd"/>
            <w:r w:rsidRPr="009A4279">
              <w:rPr>
                <w:rFonts w:ascii="Calibri" w:hAnsi="Calibri" w:cs="Calibri"/>
              </w:rPr>
              <w:t xml:space="preserve"> on GPU processors, not for other services</w:t>
            </w:r>
            <w:r w:rsidRPr="009A4279">
              <w:rPr>
                <w:rFonts w:ascii="Calibri" w:hAnsi="Calibri" w:cs="Calibri"/>
                <w:rtl/>
              </w:rPr>
              <w:t>.</w:t>
            </w: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5A7E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A response must be submitted to a call for proposals by the Israel Innovation Authority, published six times a year</w:t>
            </w:r>
            <w:r w:rsidRPr="009A4279">
              <w:rPr>
                <w:rFonts w:ascii="Calibri" w:hAnsi="Calibri" w:cs="Calibri"/>
                <w:rtl/>
              </w:rPr>
              <w:t>.</w:t>
            </w: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68BD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hyperlink r:id="rId10" w:history="1">
              <w:r w:rsidRPr="009A4279">
                <w:rPr>
                  <w:rStyle w:val="Hyperlink"/>
                  <w:rFonts w:ascii="Calibri" w:hAnsi="Calibri" w:cs="Calibri"/>
                </w:rPr>
                <w:t>Click</w:t>
              </w:r>
            </w:hyperlink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1A1D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  <w:rtl/>
              </w:rPr>
              <w:t>80%</w:t>
            </w:r>
          </w:p>
        </w:tc>
        <w:tc>
          <w:tcPr>
            <w:tcW w:w="2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2A354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Israel Innovation Authority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8A5C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proofErr w:type="spellStart"/>
            <w:r w:rsidRPr="009A4279">
              <w:rPr>
                <w:rFonts w:ascii="Calibri" w:hAnsi="Calibri" w:cs="Calibri"/>
              </w:rPr>
              <w:t>Nebius</w:t>
            </w:r>
            <w:proofErr w:type="spellEnd"/>
          </w:p>
        </w:tc>
      </w:tr>
      <w:tr w:rsidR="007A1132" w:rsidRPr="009A4279" w14:paraId="6780F820" w14:textId="77777777" w:rsidTr="002F167F">
        <w:trPr>
          <w:trHeight w:val="2933"/>
          <w:tblCellSpacing w:w="15" w:type="dxa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0EA3" w14:textId="576A3D31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 xml:space="preserve">Access will be granted after the proposal wins a call for proposals. </w:t>
            </w:r>
            <w:r w:rsidR="002F167F" w:rsidRPr="009A4279">
              <w:rPr>
                <w:rFonts w:ascii="Calibri" w:hAnsi="Calibri" w:cs="Calibri"/>
              </w:rPr>
              <w:t xml:space="preserve">Link to </w:t>
            </w:r>
            <w:hyperlink r:id="rId11" w:history="1">
              <w:r w:rsidR="004127BC" w:rsidRPr="009A4279">
                <w:rPr>
                  <w:rStyle w:val="Hyperlink"/>
                  <w:rFonts w:ascii="Calibri" w:hAnsi="Calibri" w:cs="Calibri"/>
                </w:rPr>
                <w:t>presentation</w:t>
              </w:r>
            </w:hyperlink>
            <w:r w:rsidRPr="009A4279">
              <w:rPr>
                <w:rFonts w:ascii="Calibri" w:hAnsi="Calibri" w:cs="Calibri"/>
              </w:rPr>
              <w:t xml:space="preserve"> summarizing the proposal submission </w:t>
            </w: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59E8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hyperlink r:id="rId12" w:history="1">
              <w:r w:rsidRPr="009A4279">
                <w:rPr>
                  <w:rStyle w:val="Hyperlink"/>
                  <w:rFonts w:ascii="Calibri" w:hAnsi="Calibri" w:cs="Calibri"/>
                </w:rPr>
                <w:t>Calls for proposals</w:t>
              </w:r>
            </w:hyperlink>
            <w:r w:rsidRPr="009A4279">
              <w:rPr>
                <w:rFonts w:ascii="Calibri" w:hAnsi="Calibri" w:cs="Calibri"/>
                <w:rtl/>
              </w:rPr>
              <w:t xml:space="preserve"> </w:t>
            </w:r>
            <w:r w:rsidRPr="009A4279">
              <w:rPr>
                <w:rFonts w:ascii="Calibri" w:hAnsi="Calibri" w:cs="Calibri"/>
              </w:rPr>
              <w:t>for access to CPU supercomputers</w:t>
            </w:r>
            <w:r w:rsidRPr="009A4279">
              <w:rPr>
                <w:rFonts w:ascii="Calibri" w:hAnsi="Calibri" w:cs="Calibri"/>
                <w:rtl/>
              </w:rPr>
              <w:t>.</w:t>
            </w:r>
          </w:p>
          <w:p w14:paraId="53FCF930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hyperlink r:id="rId13" w:history="1">
              <w:r w:rsidRPr="009A4279">
                <w:rPr>
                  <w:rStyle w:val="Hyperlink"/>
                  <w:rFonts w:ascii="Calibri" w:hAnsi="Calibri" w:cs="Calibri"/>
                </w:rPr>
                <w:t>Calls for proposals</w:t>
              </w:r>
            </w:hyperlink>
            <w:r w:rsidRPr="009A4279">
              <w:rPr>
                <w:rFonts w:ascii="Calibri" w:hAnsi="Calibri" w:cs="Calibri"/>
                <w:rtl/>
              </w:rPr>
              <w:t xml:space="preserve"> </w:t>
            </w:r>
            <w:r w:rsidRPr="009A4279">
              <w:rPr>
                <w:rFonts w:ascii="Calibri" w:hAnsi="Calibri" w:cs="Calibri"/>
              </w:rPr>
              <w:t>for access to GPU servers – AI Factories</w:t>
            </w:r>
            <w:r w:rsidRPr="009A4279">
              <w:rPr>
                <w:rFonts w:ascii="Calibri" w:hAnsi="Calibri" w:cs="Calibri"/>
                <w:rtl/>
              </w:rPr>
              <w:t>.</w:t>
            </w: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9376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hyperlink r:id="rId14" w:history="1">
              <w:r w:rsidRPr="009A4279">
                <w:rPr>
                  <w:rStyle w:val="Hyperlink"/>
                  <w:rFonts w:ascii="Calibri" w:hAnsi="Calibri" w:cs="Calibri"/>
                </w:rPr>
                <w:t>Click</w:t>
              </w:r>
            </w:hyperlink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5D45B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Free</w:t>
            </w:r>
          </w:p>
        </w:tc>
        <w:tc>
          <w:tcPr>
            <w:tcW w:w="2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93A0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European Union consortium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68E5" w14:textId="77777777" w:rsidR="007A1132" w:rsidRPr="009A4279" w:rsidRDefault="007A1132" w:rsidP="00E354B9">
            <w:pPr>
              <w:bidi/>
              <w:jc w:val="right"/>
              <w:rPr>
                <w:rFonts w:ascii="Calibri" w:hAnsi="Calibri" w:cs="Calibri"/>
                <w:rtl/>
              </w:rPr>
            </w:pPr>
            <w:r w:rsidRPr="009A4279">
              <w:rPr>
                <w:rFonts w:ascii="Calibri" w:hAnsi="Calibri" w:cs="Calibri"/>
              </w:rPr>
              <w:t>EuroHPC</w:t>
            </w:r>
          </w:p>
        </w:tc>
      </w:tr>
    </w:tbl>
    <w:p w14:paraId="673DA963" w14:textId="77777777" w:rsidR="00637513" w:rsidRPr="009A4279" w:rsidRDefault="00637513" w:rsidP="00637513">
      <w:pPr>
        <w:bidi/>
        <w:rPr>
          <w:rFonts w:ascii="Calibri" w:hAnsi="Calibri" w:cs="Calibri"/>
          <w:rtl/>
        </w:rPr>
      </w:pPr>
    </w:p>
    <w:p w14:paraId="251FCFD7" w14:textId="219D4443" w:rsidR="00ED0997" w:rsidRPr="009A4279" w:rsidRDefault="00ED0997">
      <w:pPr>
        <w:spacing w:after="160" w:line="259" w:lineRule="auto"/>
        <w:rPr>
          <w:rFonts w:ascii="Calibri" w:hAnsi="Calibri" w:cs="Calibri"/>
        </w:rPr>
      </w:pPr>
      <w:r w:rsidRPr="009A4279">
        <w:rPr>
          <w:rFonts w:ascii="Calibri" w:hAnsi="Calibri" w:cs="Calibri"/>
        </w:rPr>
        <w:br w:type="page"/>
      </w:r>
    </w:p>
    <w:p w14:paraId="295084D9" w14:textId="77777777" w:rsidR="00CC4361" w:rsidRPr="009A4279" w:rsidRDefault="00CC4361"/>
    <w:sectPr w:rsidR="00CC4361" w:rsidRPr="009A4279" w:rsidSect="007B5D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377E" w14:textId="77777777" w:rsidR="00B63BE7" w:rsidRDefault="00B63BE7" w:rsidP="00637513">
      <w:r>
        <w:separator/>
      </w:r>
    </w:p>
  </w:endnote>
  <w:endnote w:type="continuationSeparator" w:id="0">
    <w:p w14:paraId="45EC96C8" w14:textId="77777777" w:rsidR="00B63BE7" w:rsidRDefault="00B63BE7" w:rsidP="0063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53E7" w14:textId="77777777" w:rsidR="00B63BE7" w:rsidRDefault="00B63BE7" w:rsidP="00637513">
      <w:r>
        <w:separator/>
      </w:r>
    </w:p>
  </w:footnote>
  <w:footnote w:type="continuationSeparator" w:id="0">
    <w:p w14:paraId="2FB0E8BA" w14:textId="77777777" w:rsidR="00B63BE7" w:rsidRDefault="00B63BE7" w:rsidP="00637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3"/>
    <w:rsid w:val="000D3673"/>
    <w:rsid w:val="001F176C"/>
    <w:rsid w:val="0026690B"/>
    <w:rsid w:val="002F167F"/>
    <w:rsid w:val="002F4D32"/>
    <w:rsid w:val="00365B7B"/>
    <w:rsid w:val="004127BC"/>
    <w:rsid w:val="004A1151"/>
    <w:rsid w:val="00600C4D"/>
    <w:rsid w:val="00637513"/>
    <w:rsid w:val="007A1132"/>
    <w:rsid w:val="007B5D79"/>
    <w:rsid w:val="007C3B03"/>
    <w:rsid w:val="007C5684"/>
    <w:rsid w:val="009A4279"/>
    <w:rsid w:val="00B52756"/>
    <w:rsid w:val="00B63BE7"/>
    <w:rsid w:val="00B76B63"/>
    <w:rsid w:val="00BD7ADF"/>
    <w:rsid w:val="00CC4361"/>
    <w:rsid w:val="00DC1786"/>
    <w:rsid w:val="00E354B9"/>
    <w:rsid w:val="00ED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1DCD"/>
  <w15:chartTrackingRefBased/>
  <w15:docId w15:val="{65009A5D-BDB5-4D7F-96FA-7E0BDEE4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1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513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513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513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513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513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513"/>
    <w:pPr>
      <w:keepNext/>
      <w:keepLines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513"/>
    <w:pPr>
      <w:keepNext/>
      <w:keepLines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513"/>
    <w:pPr>
      <w:keepNext/>
      <w:keepLines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513"/>
    <w:pPr>
      <w:keepNext/>
      <w:keepLines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513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513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513"/>
    <w:pPr>
      <w:bidi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37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513"/>
    <w:pPr>
      <w:bidi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37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5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7513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5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513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5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513"/>
    <w:rPr>
      <w:rFonts w:ascii="Aptos" w:hAnsi="Aptos" w:cs="Aptos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cle.com/cloud/costestimator.html" TargetMode="External"/><Relationship Id="rId13" Type="http://schemas.openxmlformats.org/officeDocument/2006/relationships/hyperlink" Target="https://www.eurohpc-ju.europa.eu/ai-factories/ai-factories-access-calls_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google.com/products/calculator" TargetMode="External"/><Relationship Id="rId12" Type="http://schemas.openxmlformats.org/officeDocument/2006/relationships/hyperlink" Target="https://www.eurohpc-ju.europa.eu/supercomputers/supercomputers-access-calls_e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lculator.aws/" TargetMode="External"/><Relationship Id="rId11" Type="http://schemas.openxmlformats.org/officeDocument/2006/relationships/hyperlink" Target="https://welcome2.technion.ac.il/wp-content/uploads/2026/05/Faculty-EuroHPC-JU-introduction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ebius.com/pric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zure.microsoft.com/en-us/pricing/calculator/" TargetMode="External"/><Relationship Id="rId14" Type="http://schemas.openxmlformats.org/officeDocument/2006/relationships/hyperlink" Target="https://www.eurohpc-ju.europa.eu/index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Suss-Toby</dc:creator>
  <cp:keywords/>
  <dc:description/>
  <cp:lastModifiedBy>Edith Suss-Toby</cp:lastModifiedBy>
  <cp:revision>2</cp:revision>
  <dcterms:created xsi:type="dcterms:W3CDTF">2026-05-18T10:03:00Z</dcterms:created>
  <dcterms:modified xsi:type="dcterms:W3CDTF">2026-05-18T10:03:00Z</dcterms:modified>
</cp:coreProperties>
</file>